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642"/>
        <w:jc w:val="center"/>
        <w:rPr>
          <w:rFonts w:ascii="仿宋" w:hAnsi="仿宋" w:eastAsia="仿宋" w:cs="仿宋"/>
          <w:b/>
          <w:bCs/>
          <w:sz w:val="36"/>
          <w:szCs w:val="36"/>
        </w:rPr>
      </w:pPr>
      <w:r>
        <w:rPr>
          <w:rFonts w:hint="eastAsia" w:ascii="仿宋" w:hAnsi="仿宋" w:eastAsia="仿宋" w:cs="仿宋"/>
          <w:b/>
          <w:bCs/>
          <w:sz w:val="36"/>
          <w:szCs w:val="36"/>
          <w:u w:val="single"/>
          <w:lang w:val="en-US" w:eastAsia="zh-Hans"/>
        </w:rPr>
        <w:t>研究生</w:t>
      </w:r>
      <w:r>
        <w:rPr>
          <w:rFonts w:hint="eastAsia" w:ascii="仿宋" w:hAnsi="仿宋" w:eastAsia="仿宋" w:cs="仿宋"/>
          <w:b/>
          <w:bCs/>
          <w:sz w:val="36"/>
          <w:szCs w:val="36"/>
        </w:rPr>
        <w:t>学位论文</w:t>
      </w:r>
      <w:r>
        <w:rPr>
          <w:rFonts w:hint="eastAsia" w:ascii="仿宋" w:hAnsi="仿宋" w:eastAsia="仿宋" w:cs="仿宋"/>
          <w:b/>
          <w:bCs/>
          <w:sz w:val="36"/>
          <w:szCs w:val="36"/>
          <w:lang w:val="en-US" w:eastAsia="zh-Hans"/>
        </w:rPr>
        <w:t>中期考核</w:t>
      </w:r>
      <w:r>
        <w:rPr>
          <w:rFonts w:hint="eastAsia" w:ascii="仿宋" w:hAnsi="仿宋" w:eastAsia="仿宋" w:cs="仿宋"/>
          <w:b/>
          <w:bCs/>
          <w:sz w:val="36"/>
          <w:szCs w:val="36"/>
        </w:rPr>
        <w:t>安排</w:t>
      </w:r>
    </w:p>
    <w:p>
      <w:pPr>
        <w:jc w:val="center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第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Hans"/>
        </w:rPr>
        <w:t>四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组</w:t>
      </w:r>
    </w:p>
    <w:p/>
    <w:p>
      <w:pPr>
        <w:rPr>
          <w:rFonts w:hint="default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一、时间：</w:t>
      </w:r>
      <w:r>
        <w:rPr>
          <w:rFonts w:hint="eastAsia" w:ascii="仿宋" w:hAnsi="仿宋" w:eastAsia="仿宋" w:cs="仿宋"/>
          <w:sz w:val="28"/>
          <w:szCs w:val="28"/>
        </w:rPr>
        <w:t>2023年</w:t>
      </w:r>
      <w:r>
        <w:rPr>
          <w:rFonts w:hint="default" w:ascii="仿宋" w:hAnsi="仿宋" w:eastAsia="仿宋" w:cs="仿宋"/>
          <w:sz w:val="28"/>
          <w:szCs w:val="28"/>
        </w:rPr>
        <w:t>10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default" w:ascii="仿宋" w:hAnsi="仿宋" w:eastAsia="仿宋" w:cs="仿宋"/>
          <w:sz w:val="28"/>
          <w:szCs w:val="28"/>
        </w:rPr>
        <w:t>28</w:t>
      </w:r>
      <w:r>
        <w:rPr>
          <w:rFonts w:hint="eastAsia" w:ascii="仿宋" w:hAnsi="仿宋" w:eastAsia="仿宋" w:cs="仿宋"/>
          <w:sz w:val="28"/>
          <w:szCs w:val="28"/>
        </w:rPr>
        <w:t>日，</w:t>
      </w:r>
      <w:r>
        <w:rPr>
          <w:rFonts w:hint="default" w:ascii="仿宋" w:hAnsi="仿宋" w:eastAsia="仿宋" w:cs="仿宋"/>
          <w:sz w:val="28"/>
          <w:szCs w:val="28"/>
        </w:rPr>
        <w:t>8</w:t>
      </w:r>
      <w:r>
        <w:rPr>
          <w:rFonts w:hint="eastAsia" w:ascii="仿宋" w:hAnsi="仿宋" w:eastAsia="仿宋" w:cs="仿宋"/>
          <w:sz w:val="28"/>
          <w:szCs w:val="28"/>
        </w:rPr>
        <w:t>:</w:t>
      </w:r>
      <w:r>
        <w:rPr>
          <w:rFonts w:hint="default" w:ascii="仿宋" w:hAnsi="仿宋" w:eastAsia="仿宋" w:cs="仿宋"/>
          <w:sz w:val="28"/>
          <w:szCs w:val="28"/>
        </w:rPr>
        <w:t>00</w:t>
      </w:r>
      <w:r>
        <w:rPr>
          <w:rFonts w:hint="eastAsia" w:ascii="仿宋" w:hAnsi="仿宋" w:eastAsia="仿宋" w:cs="仿宋"/>
          <w:sz w:val="28"/>
          <w:szCs w:val="28"/>
        </w:rPr>
        <w:t>-</w:t>
      </w:r>
      <w:r>
        <w:rPr>
          <w:rFonts w:hint="default" w:ascii="仿宋" w:hAnsi="仿宋" w:eastAsia="仿宋" w:cs="仿宋"/>
          <w:sz w:val="28"/>
          <w:szCs w:val="28"/>
        </w:rPr>
        <w:t>12</w:t>
      </w:r>
      <w:r>
        <w:rPr>
          <w:rFonts w:hint="eastAsia" w:ascii="仿宋" w:hAnsi="仿宋" w:eastAsia="仿宋" w:cs="仿宋"/>
          <w:sz w:val="28"/>
          <w:szCs w:val="28"/>
        </w:rPr>
        <w:t>:</w:t>
      </w:r>
      <w:r>
        <w:rPr>
          <w:rFonts w:hint="default" w:ascii="仿宋" w:hAnsi="仿宋" w:eastAsia="仿宋" w:cs="仿宋"/>
          <w:sz w:val="28"/>
          <w:szCs w:val="28"/>
        </w:rPr>
        <w:t>00</w:t>
      </w:r>
    </w:p>
    <w:p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二、地点：</w:t>
      </w:r>
      <w:r>
        <w:rPr>
          <w:rFonts w:hint="default" w:ascii="仿宋" w:hAnsi="仿宋" w:eastAsia="仿宋" w:cs="仿宋"/>
          <w:sz w:val="28"/>
          <w:szCs w:val="28"/>
        </w:rPr>
        <w:t>16-335</w:t>
      </w:r>
    </w:p>
    <w:p>
      <w:pPr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三、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Hans"/>
        </w:rPr>
        <w:t>中期考核小组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1"/>
        <w:gridCol w:w="2004"/>
        <w:gridCol w:w="2996"/>
        <w:gridCol w:w="2131"/>
      </w:tblGrid>
      <w:tr>
        <w:trPr>
          <w:trHeight w:val="510" w:hRule="atLeast"/>
        </w:trPr>
        <w:tc>
          <w:tcPr>
            <w:tcW w:w="139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姓名</w:t>
            </w:r>
          </w:p>
        </w:tc>
        <w:tc>
          <w:tcPr>
            <w:tcW w:w="200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职称</w:t>
            </w:r>
          </w:p>
        </w:tc>
        <w:tc>
          <w:tcPr>
            <w:tcW w:w="299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工作单位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备注</w:t>
            </w:r>
          </w:p>
        </w:tc>
      </w:tr>
      <w:tr>
        <w:trPr>
          <w:trHeight w:val="510" w:hRule="atLeast"/>
        </w:trPr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Hans"/>
              </w:rPr>
              <w:t>曹晓华</w:t>
            </w:r>
          </w:p>
        </w:tc>
        <w:tc>
          <w:tcPr>
            <w:tcW w:w="200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Hans"/>
              </w:rPr>
              <w:t>教授</w:t>
            </w:r>
          </w:p>
        </w:tc>
        <w:tc>
          <w:tcPr>
            <w:tcW w:w="299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Hans"/>
              </w:rPr>
              <w:t>浙江师范大学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Hans"/>
              </w:rPr>
              <w:t>组长</w:t>
            </w:r>
          </w:p>
        </w:tc>
      </w:tr>
      <w:tr>
        <w:trPr>
          <w:trHeight w:val="510" w:hRule="atLeast"/>
        </w:trPr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Hans"/>
              </w:rPr>
            </w:pPr>
            <w:r>
              <w:rPr>
                <w:rFonts w:hint="default" w:ascii="仿宋" w:hAnsi="仿宋" w:eastAsia="仿宋" w:cs="仿宋"/>
                <w:sz w:val="24"/>
                <w:lang w:val="en-US" w:eastAsia="zh-CN"/>
              </w:rPr>
              <w:t>李锋盈</w:t>
            </w:r>
          </w:p>
        </w:tc>
        <w:tc>
          <w:tcPr>
            <w:tcW w:w="200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Hans"/>
              </w:rPr>
              <w:t>副教授</w:t>
            </w:r>
          </w:p>
        </w:tc>
        <w:tc>
          <w:tcPr>
            <w:tcW w:w="299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Hans"/>
              </w:rPr>
              <w:t>浙江师范大学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Hans"/>
              </w:rPr>
            </w:pPr>
          </w:p>
        </w:tc>
      </w:tr>
      <w:tr>
        <w:trPr>
          <w:trHeight w:val="510" w:hRule="atLeast"/>
        </w:trPr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Hans"/>
              </w:rPr>
            </w:pPr>
            <w:r>
              <w:rPr>
                <w:rFonts w:hint="default" w:ascii="仿宋" w:hAnsi="仿宋" w:eastAsia="仿宋" w:cs="仿宋"/>
                <w:sz w:val="24"/>
                <w:lang w:val="en-US" w:eastAsia="zh-CN"/>
              </w:rPr>
              <w:t>陈双</w:t>
            </w:r>
          </w:p>
        </w:tc>
        <w:tc>
          <w:tcPr>
            <w:tcW w:w="200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Hans"/>
              </w:rPr>
              <w:t>副教授</w:t>
            </w:r>
          </w:p>
        </w:tc>
        <w:tc>
          <w:tcPr>
            <w:tcW w:w="299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Hans"/>
              </w:rPr>
              <w:t>浙江师范大学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Hans"/>
              </w:rPr>
            </w:pPr>
          </w:p>
        </w:tc>
      </w:tr>
      <w:tr>
        <w:trPr>
          <w:trHeight w:val="510" w:hRule="atLeast"/>
        </w:trPr>
        <w:tc>
          <w:tcPr>
            <w:tcW w:w="1391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lang w:val="en-US" w:eastAsia="zh-CN"/>
              </w:rPr>
              <w:t>李城林</w:t>
            </w:r>
          </w:p>
        </w:tc>
        <w:tc>
          <w:tcPr>
            <w:tcW w:w="200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Hans"/>
              </w:rPr>
              <w:t>副教授</w:t>
            </w:r>
          </w:p>
        </w:tc>
        <w:tc>
          <w:tcPr>
            <w:tcW w:w="299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Hans"/>
              </w:rPr>
              <w:t>浙江师范大学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Hans"/>
              </w:rPr>
            </w:pPr>
          </w:p>
        </w:tc>
      </w:tr>
    </w:tbl>
    <w:p>
      <w:pPr>
        <w:rPr>
          <w:rFonts w:hint="eastAsia" w:ascii="仿宋" w:hAnsi="仿宋" w:eastAsia="仿宋" w:cs="仿宋"/>
          <w:b/>
          <w:bCs/>
          <w:sz w:val="21"/>
          <w:szCs w:val="21"/>
        </w:rPr>
      </w:pPr>
    </w:p>
    <w:p>
      <w:pPr>
        <w:rPr>
          <w:rFonts w:hint="default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四、秘书：</w:t>
      </w:r>
      <w:r>
        <w:rPr>
          <w:rFonts w:hint="default" w:ascii="仿宋" w:hAnsi="仿宋" w:eastAsia="仿宋" w:cs="仿宋"/>
          <w:sz w:val="28"/>
          <w:szCs w:val="28"/>
        </w:rPr>
        <w:t>褚高红</w:t>
      </w:r>
      <w:r>
        <w:rPr>
          <w:rFonts w:hint="eastAsia" w:ascii="仿宋" w:hAnsi="仿宋" w:eastAsia="仿宋" w:cs="仿宋"/>
          <w:sz w:val="28"/>
          <w:szCs w:val="28"/>
        </w:rPr>
        <w:t>（长号：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15243175827</w:t>
      </w:r>
      <w:r>
        <w:rPr>
          <w:rFonts w:hint="eastAsia" w:ascii="仿宋" w:hAnsi="仿宋" w:eastAsia="仿宋" w:cs="仿宋"/>
          <w:sz w:val="28"/>
          <w:szCs w:val="28"/>
        </w:rPr>
        <w:t>，邮箱：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fldChar w:fldCharType="begin"/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instrText xml:space="preserve"> HYPERLINK "mailto:cgh15243175827@163.com" </w:instrTex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fldChar w:fldCharType="separate"/>
      </w:r>
      <w:r>
        <w:rPr>
          <w:rFonts w:hint="default" w:ascii="仿宋" w:hAnsi="仿宋" w:eastAsia="仿宋" w:cs="仿宋"/>
          <w:sz w:val="28"/>
          <w:szCs w:val="28"/>
        </w:rPr>
        <w:t>cgh15243175827@163.com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fldChar w:fldCharType="end"/>
      </w:r>
    </w:p>
    <w:p>
      <w:pPr>
        <w:rPr>
          <w:rFonts w:hint="default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）</w:t>
      </w:r>
    </w:p>
    <w:p>
      <w:pPr>
        <w:spacing w:before="156" w:beforeLines="5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五、参加答辩研究生</w:t>
      </w:r>
    </w:p>
    <w:tbl>
      <w:tblPr>
        <w:tblStyle w:val="6"/>
        <w:tblW w:w="728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5"/>
        <w:gridCol w:w="1213"/>
        <w:gridCol w:w="1033"/>
        <w:gridCol w:w="4288"/>
      </w:tblGrid>
      <w:tr>
        <w:trPr>
          <w:trHeight w:val="398" w:hRule="atLeast"/>
          <w:jc w:val="center"/>
        </w:trPr>
        <w:tc>
          <w:tcPr>
            <w:tcW w:w="75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Hans"/>
              </w:rPr>
              <w:t>序号</w:t>
            </w:r>
          </w:p>
        </w:tc>
        <w:tc>
          <w:tcPr>
            <w:tcW w:w="121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Hans"/>
              </w:rPr>
              <w:t>姓名</w:t>
            </w:r>
          </w:p>
        </w:tc>
        <w:tc>
          <w:tcPr>
            <w:tcW w:w="103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Hans"/>
              </w:rPr>
              <w:t>导师</w:t>
            </w:r>
          </w:p>
        </w:tc>
        <w:tc>
          <w:tcPr>
            <w:tcW w:w="428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Hans"/>
              </w:rPr>
              <w:t>学位论文题目</w:t>
            </w:r>
          </w:p>
        </w:tc>
      </w:tr>
      <w:tr>
        <w:trPr>
          <w:jc w:val="center"/>
        </w:trPr>
        <w:tc>
          <w:tcPr>
            <w:tcW w:w="75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Hans"/>
              </w:rPr>
              <w:t>1</w:t>
            </w:r>
          </w:p>
        </w:tc>
        <w:tc>
          <w:tcPr>
            <w:tcW w:w="121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Hans"/>
              </w:rPr>
            </w:pPr>
            <w:r>
              <w:rPr>
                <w:rFonts w:hint="default" w:ascii="仿宋" w:hAnsi="仿宋" w:eastAsia="仿宋" w:cs="仿宋"/>
                <w:sz w:val="24"/>
                <w:lang w:val="en-US" w:eastAsia="zh-CN"/>
              </w:rPr>
              <w:t>程慧</w:t>
            </w:r>
          </w:p>
        </w:tc>
        <w:tc>
          <w:tcPr>
            <w:tcW w:w="103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lang w:val="en-US" w:eastAsia="zh-CN"/>
              </w:rPr>
              <w:t>王小琴</w:t>
            </w:r>
          </w:p>
        </w:tc>
        <w:tc>
          <w:tcPr>
            <w:tcW w:w="428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lang w:val="en-US" w:eastAsia="zh-CN"/>
              </w:rPr>
              <w:t>认知控制对情绪调节灵活性的影响及干预研究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75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Hans"/>
              </w:rPr>
              <w:t>2</w:t>
            </w:r>
          </w:p>
        </w:tc>
        <w:tc>
          <w:tcPr>
            <w:tcW w:w="121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lang w:val="en-US" w:eastAsia="zh-CN"/>
              </w:rPr>
              <w:t>杨书航</w:t>
            </w:r>
          </w:p>
        </w:tc>
        <w:tc>
          <w:tcPr>
            <w:tcW w:w="103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lang w:val="en-US" w:eastAsia="zh-CN"/>
              </w:rPr>
              <w:t>李新宇</w:t>
            </w:r>
          </w:p>
        </w:tc>
        <w:tc>
          <w:tcPr>
            <w:tcW w:w="428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lang w:val="en-US" w:eastAsia="zh-CN"/>
              </w:rPr>
              <w:t>自上而下加工和选择历史在注意捕获中的权衡过程：以类别信息为例</w:t>
            </w:r>
          </w:p>
        </w:tc>
      </w:tr>
      <w:tr>
        <w:trPr>
          <w:jc w:val="center"/>
        </w:trPr>
        <w:tc>
          <w:tcPr>
            <w:tcW w:w="75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Hans"/>
              </w:rPr>
              <w:t>3</w:t>
            </w:r>
          </w:p>
        </w:tc>
        <w:tc>
          <w:tcPr>
            <w:tcW w:w="121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Hans"/>
              </w:rPr>
            </w:pPr>
            <w:r>
              <w:rPr>
                <w:rFonts w:hint="default" w:ascii="仿宋" w:hAnsi="仿宋" w:eastAsia="仿宋" w:cs="仿宋"/>
                <w:sz w:val="24"/>
                <w:lang w:val="en-US" w:eastAsia="zh-CN"/>
              </w:rPr>
              <w:t>陈志远</w:t>
            </w:r>
          </w:p>
        </w:tc>
        <w:tc>
          <w:tcPr>
            <w:tcW w:w="103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Hans"/>
              </w:rPr>
            </w:pPr>
            <w:r>
              <w:rPr>
                <w:rFonts w:hint="default" w:ascii="仿宋" w:hAnsi="仿宋" w:eastAsia="仿宋" w:cs="仿宋"/>
                <w:sz w:val="24"/>
                <w:lang w:val="en-US" w:eastAsia="zh-CN"/>
              </w:rPr>
              <w:t>李新宇</w:t>
            </w:r>
          </w:p>
        </w:tc>
        <w:tc>
          <w:tcPr>
            <w:tcW w:w="428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Hans"/>
              </w:rPr>
            </w:pPr>
            <w:r>
              <w:rPr>
                <w:rFonts w:hint="default" w:ascii="仿宋" w:hAnsi="仿宋" w:eastAsia="仿宋" w:cs="仿宋"/>
                <w:sz w:val="24"/>
                <w:lang w:val="en-US" w:eastAsia="zh-CN"/>
              </w:rPr>
              <w:t>在线学习的课件可获取性与学习目标对认知卸载的影响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75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Hans"/>
              </w:rPr>
              <w:t>4</w:t>
            </w:r>
          </w:p>
        </w:tc>
        <w:tc>
          <w:tcPr>
            <w:tcW w:w="121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Hans"/>
              </w:rPr>
            </w:pPr>
            <w:r>
              <w:rPr>
                <w:rFonts w:hint="default" w:ascii="仿宋" w:hAnsi="仿宋" w:eastAsia="仿宋" w:cs="仿宋"/>
                <w:sz w:val="24"/>
                <w:lang w:val="en-US" w:eastAsia="zh-CN"/>
              </w:rPr>
              <w:t>马嘉怡</w:t>
            </w:r>
          </w:p>
        </w:tc>
        <w:tc>
          <w:tcPr>
            <w:tcW w:w="103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Hans"/>
              </w:rPr>
            </w:pPr>
            <w:r>
              <w:rPr>
                <w:rFonts w:hint="default" w:ascii="仿宋" w:hAnsi="仿宋" w:eastAsia="仿宋" w:cs="仿宋"/>
                <w:sz w:val="24"/>
                <w:lang w:val="en-US" w:eastAsia="zh-CN"/>
              </w:rPr>
              <w:t>李新宇</w:t>
            </w:r>
          </w:p>
        </w:tc>
        <w:tc>
          <w:tcPr>
            <w:tcW w:w="428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Hans"/>
              </w:rPr>
            </w:pPr>
            <w:r>
              <w:rPr>
                <w:rFonts w:hint="default" w:ascii="仿宋" w:hAnsi="仿宋" w:eastAsia="仿宋" w:cs="仿宋"/>
                <w:sz w:val="24"/>
                <w:lang w:val="en-US" w:eastAsia="zh-CN"/>
              </w:rPr>
              <w:t>决策者童年创伤对模拟司法决策的影响基于亲属相犯案件</w:t>
            </w:r>
          </w:p>
        </w:tc>
      </w:tr>
      <w:tr>
        <w:trPr>
          <w:jc w:val="center"/>
        </w:trPr>
        <w:tc>
          <w:tcPr>
            <w:tcW w:w="75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Hans"/>
              </w:rPr>
              <w:t>5</w:t>
            </w:r>
          </w:p>
        </w:tc>
        <w:tc>
          <w:tcPr>
            <w:tcW w:w="121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张蕾</w:t>
            </w:r>
          </w:p>
        </w:tc>
        <w:tc>
          <w:tcPr>
            <w:tcW w:w="103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谢芳</w:t>
            </w:r>
          </w:p>
        </w:tc>
        <w:tc>
          <w:tcPr>
            <w:tcW w:w="428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语境限制性对副中央凹预视加工影 响的眼动研究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75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Hans"/>
              </w:rPr>
              <w:t>6</w:t>
            </w:r>
          </w:p>
        </w:tc>
        <w:tc>
          <w:tcPr>
            <w:tcW w:w="121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陈婉莹</w:t>
            </w:r>
          </w:p>
        </w:tc>
        <w:tc>
          <w:tcPr>
            <w:tcW w:w="103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谢芳</w:t>
            </w:r>
          </w:p>
        </w:tc>
        <w:tc>
          <w:tcPr>
            <w:tcW w:w="428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动机强度影响老年人背景信息情绪记忆积极效应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75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Hans"/>
              </w:rPr>
              <w:t>7</w:t>
            </w:r>
          </w:p>
        </w:tc>
        <w:tc>
          <w:tcPr>
            <w:tcW w:w="1213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李欣泽</w:t>
            </w:r>
          </w:p>
        </w:tc>
        <w:tc>
          <w:tcPr>
            <w:tcW w:w="103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任俊</w:t>
            </w:r>
          </w:p>
        </w:tc>
        <w:tc>
          <w:tcPr>
            <w:tcW w:w="428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不公平经历对无关第三方欺骗的影响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75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Hans"/>
              </w:rPr>
            </w:pPr>
            <w:r>
              <w:rPr>
                <w:rFonts w:hint="default" w:ascii="仿宋" w:hAnsi="仿宋" w:eastAsia="仿宋" w:cs="仿宋"/>
                <w:sz w:val="24"/>
                <w:lang w:val="en-US" w:eastAsia="zh-Hans"/>
              </w:rPr>
              <w:t>8</w:t>
            </w:r>
          </w:p>
        </w:tc>
        <w:tc>
          <w:tcPr>
            <w:tcW w:w="121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赵梦琦</w:t>
            </w:r>
          </w:p>
        </w:tc>
        <w:tc>
          <w:tcPr>
            <w:tcW w:w="103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任俊</w:t>
            </w:r>
          </w:p>
        </w:tc>
        <w:tc>
          <w:tcPr>
            <w:tcW w:w="428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基于功能磁共振成像对焦虑症患者记忆缺陷的研究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75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Hans"/>
              </w:rPr>
            </w:pPr>
            <w:r>
              <w:rPr>
                <w:rFonts w:hint="default" w:ascii="仿宋" w:hAnsi="仿宋" w:eastAsia="仿宋" w:cs="仿宋"/>
                <w:sz w:val="24"/>
                <w:lang w:val="en-US" w:eastAsia="zh-Hans"/>
              </w:rPr>
              <w:t>9</w:t>
            </w:r>
          </w:p>
        </w:tc>
        <w:tc>
          <w:tcPr>
            <w:tcW w:w="121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邬才洪</w:t>
            </w:r>
          </w:p>
        </w:tc>
        <w:tc>
          <w:tcPr>
            <w:tcW w:w="103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任俊</w:t>
            </w:r>
          </w:p>
        </w:tc>
        <w:tc>
          <w:tcPr>
            <w:tcW w:w="428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《双趋双避冲突情境下人们的自主选择偏好》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75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eastAsia="zh-Hans" w:bidi="ar-SA"/>
              </w:rPr>
            </w:pPr>
            <w:r>
              <w:rPr>
                <w:rFonts w:hint="default" w:ascii="仿宋" w:hAnsi="仿宋" w:eastAsia="仿宋" w:cs="仿宋"/>
                <w:kern w:val="2"/>
                <w:sz w:val="24"/>
                <w:szCs w:val="24"/>
                <w:lang w:eastAsia="zh-Hans" w:bidi="ar-SA"/>
              </w:rPr>
              <w:t>10</w:t>
            </w:r>
          </w:p>
        </w:tc>
        <w:tc>
          <w:tcPr>
            <w:tcW w:w="121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张加茜</w:t>
            </w:r>
          </w:p>
        </w:tc>
        <w:tc>
          <w:tcPr>
            <w:tcW w:w="103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李华云</w:t>
            </w:r>
          </w:p>
        </w:tc>
        <w:tc>
          <w:tcPr>
            <w:tcW w:w="428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达芬奇立体视形成立体视觉的加工机制 及其影响因素的研究</w:t>
            </w:r>
          </w:p>
        </w:tc>
      </w:tr>
      <w:tr>
        <w:trPr>
          <w:jc w:val="center"/>
        </w:trPr>
        <w:tc>
          <w:tcPr>
            <w:tcW w:w="75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Hans"/>
              </w:rPr>
            </w:pPr>
            <w:r>
              <w:rPr>
                <w:rFonts w:hint="default" w:ascii="仿宋" w:hAnsi="仿宋" w:eastAsia="仿宋" w:cs="仿宋"/>
                <w:sz w:val="24"/>
                <w:lang w:val="en-US" w:eastAsia="zh-Hans"/>
              </w:rPr>
              <w:t>1</w:t>
            </w:r>
            <w:r>
              <w:rPr>
                <w:rFonts w:hint="default" w:ascii="仿宋" w:hAnsi="仿宋" w:eastAsia="仿宋" w:cs="仿宋"/>
                <w:sz w:val="24"/>
                <w:lang w:eastAsia="zh-Hans"/>
              </w:rPr>
              <w:t>1</w:t>
            </w:r>
          </w:p>
        </w:tc>
        <w:tc>
          <w:tcPr>
            <w:tcW w:w="121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lang w:val="en-US" w:eastAsia="zh-CN"/>
              </w:rPr>
              <w:t>余家豪</w:t>
            </w:r>
          </w:p>
        </w:tc>
        <w:tc>
          <w:tcPr>
            <w:tcW w:w="103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lang w:val="en-US" w:eastAsia="zh-CN"/>
              </w:rPr>
              <w:t>李华云</w:t>
            </w:r>
          </w:p>
        </w:tc>
        <w:tc>
          <w:tcPr>
            <w:tcW w:w="428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lang w:val="en-US" w:eastAsia="zh-CN"/>
              </w:rPr>
              <w:t>弱立体视觉个体的识别及其神经特征研究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75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Hans"/>
              </w:rPr>
            </w:pPr>
            <w:r>
              <w:rPr>
                <w:rFonts w:hint="default" w:ascii="仿宋" w:hAnsi="仿宋" w:eastAsia="仿宋" w:cs="仿宋"/>
                <w:sz w:val="24"/>
                <w:lang w:val="en-US" w:eastAsia="zh-Hans"/>
              </w:rPr>
              <w:t>1</w:t>
            </w:r>
            <w:r>
              <w:rPr>
                <w:rFonts w:hint="default" w:ascii="仿宋" w:hAnsi="仿宋" w:eastAsia="仿宋" w:cs="仿宋"/>
                <w:sz w:val="24"/>
                <w:lang w:eastAsia="zh-Hans"/>
              </w:rPr>
              <w:t>2</w:t>
            </w:r>
          </w:p>
        </w:tc>
        <w:tc>
          <w:tcPr>
            <w:tcW w:w="121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lang w:val="en-US" w:eastAsia="zh-CN"/>
              </w:rPr>
              <w:t>王欣</w:t>
            </w:r>
          </w:p>
        </w:tc>
        <w:tc>
          <w:tcPr>
            <w:tcW w:w="103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lang w:val="en-US" w:eastAsia="zh-CN"/>
              </w:rPr>
              <w:t>李华云</w:t>
            </w:r>
          </w:p>
        </w:tc>
        <w:tc>
          <w:tcPr>
            <w:tcW w:w="428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lang w:val="en-US" w:eastAsia="zh-CN"/>
              </w:rPr>
              <w:t>外边缘视差与亮度对比度对间隙立体视 知觉的影响：行为与ERP研究</w:t>
            </w:r>
          </w:p>
        </w:tc>
      </w:tr>
      <w:tr>
        <w:trPr>
          <w:jc w:val="center"/>
        </w:trPr>
        <w:tc>
          <w:tcPr>
            <w:tcW w:w="75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lang w:eastAsia="zh-Hans"/>
              </w:rPr>
            </w:pPr>
            <w:r>
              <w:rPr>
                <w:rFonts w:hint="default" w:ascii="仿宋" w:hAnsi="仿宋" w:eastAsia="仿宋" w:cs="仿宋"/>
                <w:sz w:val="24"/>
                <w:lang w:eastAsia="zh-Hans"/>
              </w:rPr>
              <w:t>13</w:t>
            </w:r>
          </w:p>
        </w:tc>
        <w:tc>
          <w:tcPr>
            <w:tcW w:w="1213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lang w:val="en-US" w:eastAsia="zh-CN"/>
              </w:rPr>
              <w:t>童妤</w:t>
            </w:r>
          </w:p>
        </w:tc>
        <w:tc>
          <w:tcPr>
            <w:tcW w:w="1033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lang w:val="en-US" w:eastAsia="zh-CN"/>
              </w:rPr>
              <w:t>孙炳海</w:t>
            </w:r>
          </w:p>
        </w:tc>
        <w:tc>
          <w:tcPr>
            <w:tcW w:w="4288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lang w:val="en-US" w:eastAsia="zh-CN"/>
              </w:rPr>
              <w:t>意象视角对助人意愿的影响：共情关注的中介作用和特质共情的调节作用</w:t>
            </w:r>
          </w:p>
        </w:tc>
      </w:tr>
      <w:tr>
        <w:trPr>
          <w:jc w:val="center"/>
        </w:trPr>
        <w:tc>
          <w:tcPr>
            <w:tcW w:w="75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lang w:eastAsia="zh-Hans"/>
              </w:rPr>
            </w:pPr>
            <w:r>
              <w:rPr>
                <w:rFonts w:hint="default" w:ascii="仿宋" w:hAnsi="仿宋" w:eastAsia="仿宋" w:cs="仿宋"/>
                <w:sz w:val="24"/>
                <w:lang w:eastAsia="zh-Hans"/>
              </w:rPr>
              <w:t>14</w:t>
            </w:r>
          </w:p>
        </w:tc>
        <w:tc>
          <w:tcPr>
            <w:tcW w:w="1213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lang w:val="en-US" w:eastAsia="zh-CN"/>
              </w:rPr>
              <w:t>朱李彤</w:t>
            </w:r>
          </w:p>
        </w:tc>
        <w:tc>
          <w:tcPr>
            <w:tcW w:w="1033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lang w:val="en-US" w:eastAsia="zh-CN"/>
              </w:rPr>
              <w:t>李伟健</w:t>
            </w:r>
          </w:p>
        </w:tc>
        <w:tc>
          <w:tcPr>
            <w:tcW w:w="4288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lang w:val="en-US" w:eastAsia="zh-CN"/>
              </w:rPr>
              <w:t>大学生社会比较对社会善念的影响</w:t>
            </w:r>
          </w:p>
        </w:tc>
      </w:tr>
    </w:tbl>
    <w:p>
      <w:pPr>
        <w:ind w:firstLine="642"/>
        <w:jc w:val="center"/>
        <w:rPr>
          <w:rFonts w:ascii="仿宋" w:hAnsi="仿宋" w:eastAsia="仿宋" w:cs="仿宋"/>
          <w:b/>
          <w:bCs/>
          <w:sz w:val="36"/>
          <w:szCs w:val="36"/>
          <w:u w:val="single"/>
        </w:rPr>
      </w:pPr>
      <w:bookmarkStart w:id="0" w:name="_GoBack"/>
      <w:bookmarkEnd w:id="0"/>
    </w:p>
    <w:p>
      <w:pPr>
        <w:ind w:firstLine="642"/>
        <w:jc w:val="center"/>
        <w:rPr>
          <w:rFonts w:ascii="仿宋" w:hAnsi="仿宋" w:eastAsia="仿宋" w:cs="仿宋"/>
          <w:b/>
          <w:bCs/>
          <w:sz w:val="36"/>
          <w:szCs w:val="36"/>
          <w:u w:val="single"/>
        </w:rPr>
        <w:sectPr>
          <w:pgSz w:w="11906" w:h="16838"/>
          <w:pgMar w:top="1213" w:right="1800" w:bottom="1213" w:left="1800" w:header="851" w:footer="992" w:gutter="0"/>
          <w:cols w:space="0" w:num="1"/>
          <w:docGrid w:type="lines" w:linePitch="312" w:charSpace="0"/>
        </w:sectPr>
      </w:pPr>
    </w:p>
    <w:p>
      <w:pPr>
        <w:ind w:firstLine="6440" w:firstLineChars="2300"/>
        <w:rPr>
          <w:rFonts w:ascii="仿宋" w:hAnsi="仿宋" w:eastAsia="仿宋" w:cs="仿宋"/>
          <w:sz w:val="28"/>
          <w:szCs w:val="28"/>
        </w:rPr>
      </w:pPr>
    </w:p>
    <w:p>
      <w:pPr>
        <w:ind w:firstLine="6440" w:firstLineChars="23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心理学院</w:t>
      </w:r>
    </w:p>
    <w:p>
      <w:pPr>
        <w:ind w:firstLine="210" w:firstLineChars="10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Cs w:val="21"/>
        </w:rPr>
        <w:t xml:space="preserve">                                                      </w:t>
      </w:r>
      <w:r>
        <w:rPr>
          <w:rFonts w:hint="eastAsia" w:ascii="仿宋" w:hAnsi="仿宋" w:eastAsia="仿宋" w:cs="仿宋"/>
          <w:sz w:val="28"/>
          <w:szCs w:val="28"/>
        </w:rPr>
        <w:t xml:space="preserve"> 2023年</w:t>
      </w:r>
      <w:r>
        <w:rPr>
          <w:rFonts w:hint="default" w:ascii="仿宋" w:hAnsi="仿宋" w:eastAsia="仿宋" w:cs="仿宋"/>
          <w:sz w:val="28"/>
          <w:szCs w:val="28"/>
        </w:rPr>
        <w:t>10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ascii="仿宋" w:hAnsi="仿宋" w:eastAsia="仿宋" w:cs="仿宋"/>
          <w:sz w:val="28"/>
          <w:szCs w:val="28"/>
        </w:rPr>
        <w:t>25</w:t>
      </w:r>
      <w:r>
        <w:rPr>
          <w:rFonts w:hint="eastAsia" w:ascii="仿宋" w:hAnsi="仿宋" w:eastAsia="仿宋" w:cs="仿宋"/>
          <w:sz w:val="28"/>
          <w:szCs w:val="28"/>
        </w:rPr>
        <w:t>日</w:t>
      </w:r>
    </w:p>
    <w:p/>
    <w:p/>
    <w:p>
      <w:pPr>
        <w:rPr>
          <w:rFonts w:hint="eastAsia" w:eastAsiaTheme="minorEastAsia"/>
          <w:lang w:val="en-US" w:eastAsia="zh-Hans"/>
        </w:rPr>
      </w:pPr>
    </w:p>
    <w:sectPr>
      <w:pgSz w:w="11906" w:h="16838"/>
      <w:pgMar w:top="1213" w:right="1800" w:bottom="1213" w:left="180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PingFangHK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804030504040204"/>
    <w:charset w:val="00"/>
    <w:family w:val="auto"/>
    <w:pitch w:val="default"/>
    <w:sig w:usb0="E1002AFF" w:usb1="C000605B" w:usb2="00000029" w:usb3="00000000" w:csb0="200101FF" w:csb1="2028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方正小标宋简体">
    <w:altName w:val="汉仪书宋二KW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7A2B0F"/>
    <w:rsid w:val="3DF6BF40"/>
    <w:rsid w:val="4BBF665F"/>
    <w:rsid w:val="6FBB35C5"/>
    <w:rsid w:val="7B7A2B0F"/>
    <w:rsid w:val="7C7F69D9"/>
    <w:rsid w:val="BFFEDCD3"/>
    <w:rsid w:val="FD6A7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  <w:style w:type="character" w:styleId="4">
    <w:name w:val="Hyperlink"/>
    <w:basedOn w:val="3"/>
    <w:qFormat/>
    <w:uiPriority w:val="0"/>
    <w:rPr>
      <w:color w:val="0000FF"/>
      <w:u w:val="single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p1"/>
    <w:basedOn w:val="1"/>
    <w:qFormat/>
    <w:uiPriority w:val="0"/>
    <w:pPr>
      <w:spacing w:before="0" w:beforeAutospacing="0" w:after="0" w:afterAutospacing="0" w:line="380" w:lineRule="atLeast"/>
      <w:ind w:left="0" w:right="0"/>
      <w:jc w:val="left"/>
    </w:pPr>
    <w:rPr>
      <w:rFonts w:ascii="Helvetica Neue" w:hAnsi="Helvetica Neue" w:eastAsia="Helvetica Neue" w:cs="Helvetica Neue"/>
      <w:color w:val="000000"/>
      <w:kern w:val="0"/>
      <w:sz w:val="26"/>
      <w:szCs w:val="26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Office_3.6.1.5768_F1E327BC-269C-435d-A152-05C5408002CA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2023-10-25T01:56:00Z</dcterms:created>
  <dc:creator>apple</dc:creator>
  <cp:lastModifiedBy>apple</cp:lastModifiedBy>
  <dcterms:modified xsi:type="dcterms:W3CDTF">2023-10-26T11:22:04Z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2052-3.6.1.5768</vt:lpwstr>
  </property>
</Properties>
</file>