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default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</w:t>
      </w:r>
      <w:r>
        <w:rPr>
          <w:rFonts w:hint="default" w:ascii="仿宋" w:hAnsi="仿宋" w:eastAsia="仿宋" w:cs="仿宋"/>
          <w:sz w:val="28"/>
          <w:szCs w:val="28"/>
        </w:rPr>
        <w:t>403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张宝山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陕西师范大学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  <w:bookmarkStart w:id="0" w:name="_GoBack"/>
            <w:bookmarkEnd w:id="0"/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宋科宣</w:t>
      </w:r>
      <w:r>
        <w:rPr>
          <w:rFonts w:hint="eastAsia" w:ascii="仿宋" w:hAnsi="仿宋" w:eastAsia="仿宋" w:cs="仿宋"/>
          <w:sz w:val="28"/>
          <w:szCs w:val="28"/>
        </w:rPr>
        <w:t>（长号：15638764818，邮箱：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"mailto:610617814@qq.com"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610617814@qq.com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朱锋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专家—新手教师在课堂教学中对学生的注视差异：基于自然教学情境下的眼动研究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武莹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态度效价和频率对人际吸引的影响及其边界条件的探讨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杨青风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童年期严厉管教与青少年自杀意念和非自杀性自伤发展轨迹的关系：自我同情的调节作用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白宛艳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父母婚姻满意度对正念教养的影响机制及干预研究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方静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儿童期父母冲突对高中生孤独感的影响机制及干预研究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诸晓雯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感恩对第三方惩罚的影响：道德义愤的中介作用及惩罚成本的调节作用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赵誉婧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中学生旁观者局外行为的问卷编制及局外行 为与旁观者行为的相互转化——以网络欺负为背景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戎珂欣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内隐自尊对网络欺凌旁观者行为的影响：尴尬和共情尴尬的调节作用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杨钰梁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说服对吸烟者吸烟内隐态度的影响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赵弯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《不同类型体验感对网络游戏 成瘾者线索反应的影响》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赖可莹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反事实思维对高热量食物摄入意向的影响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刘伟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吸烟者身份认同对戒烟意愿的影响：污名化和自我肯定的作用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郑梦君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强瑞超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排斥后接纳对亲群体行为的影响——群体地位的调节作用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汪小柔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父母情绪教养对儿童问题行为的影响及机制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父母情绪相关教养行为对儿童情绪调节的影响及机制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1802"/>
    <w:rsid w:val="1D7A6D6D"/>
    <w:rsid w:val="5E971175"/>
    <w:rsid w:val="7B7E1802"/>
    <w:rsid w:val="7DFF05EC"/>
    <w:rsid w:val="BB3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character" w:customStyle="1" w:styleId="8">
    <w:name w:val="s2"/>
    <w:basedOn w:val="3"/>
    <w:uiPriority w:val="0"/>
    <w:rPr>
      <w:color w:val="118EFF"/>
    </w:rPr>
  </w:style>
  <w:style w:type="character" w:customStyle="1" w:styleId="9">
    <w:name w:val="s1"/>
    <w:basedOn w:val="3"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2023-10-24T10:27:00Z</dcterms:created>
  <dc:creator>apple</dc:creator>
  <cp:lastModifiedBy>apple</cp:lastModifiedBy>
  <dcterms:modified xsi:type="dcterms:W3CDTF">2023-10-24T14:17:00Z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